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e870c8d32134e72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36991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STARI JANKOVCI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I - IX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2.919.629,54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3.399.555,13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116,4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1.578.873,91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2.184.671,78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138,4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1.340.755,63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1.214.883,35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90,6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8.656,67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9.345,56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1.299.171,87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1.046.083,36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1.290.515,20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1.036.737,80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80,3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50.240,43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178.145,55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354,6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 izvještajnom periodu ostvaren je višak prihoda u iznosu od 178.145,55 Eura Uključujući manjak prihoda prenesenih iz prethodne godine, ukupan manjak prihoda za pokriće u sljedećem razdoblju iznosi 115.324,74 eura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270.323,65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531.251,69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196,5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Rashodi za zaposlene ostvareni su u iznosu od 531.251,69  eura što je 96,50% veće u odnosu na prethodno izvještajno razdoblje zbog povećanja  broja djelatnika.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drugom proračunu i izvanproračunskim korisnicima (šifre 3631 do 3636)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3.750,00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135.840,25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3622,4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Znatno povećanje u odnosnu na prethodnu godinu 
Projekt od VVK u kojem smo partneri, izgradnja spremnika za vodu, u slučajima kada voda nestane
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Bilješke uz Izvještaj o obvezama (Obrazac: Obveze)   Početno stanje obveza iznosi 194.570,74 eura.  U izvještajnom razdoblju nastale su nove obveze u iznosu od 3.147.438,50 eura, podmireno je ukupno 3.185.330,08 eura, te stanje obveza na kraju izvještajnog razdoblja iznosi 156.669,16 eura.    Stanje nedospjelih obveza odnosi se na: - obvezu za plaće 09/25  - naknadu za uređenje voda (obveza za Hrvatske vode)  - nedospjele obveze prema dobavljačima za materijalne rashode   - nedospjele obveze prema dobavljačima za nefinancijsku imovinu   - ostale tekuće obveze</w:t>
      </w:r>
    </w:p>
    <w:p/>
  </w:body>
</w:document>
</file>

<file path=word/styles.xml><?xml version="1.0" encoding="utf-8"?>
<w:styles xmlns:w="http://schemas.openxmlformats.org/wordprocessingml/2006/main"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7c8d80dfdcd4dc7" /></Relationships>
</file>